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宋体" w:hAnsi="宋体" w:eastAsia="宋体" w:cs="宋体"/>
          <w:i w:val="0"/>
          <w:iCs w:val="0"/>
          <w:caps w:val="0"/>
          <w:color w:val="333333"/>
          <w:spacing w:val="0"/>
          <w:sz w:val="32"/>
          <w:szCs w:val="32"/>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附件</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960"/>
        <w:jc w:val="center"/>
        <w:rPr>
          <w:rFonts w:hint="eastAsia" w:ascii="宋体" w:hAnsi="宋体" w:eastAsia="宋体" w:cs="宋体"/>
          <w:i w:val="0"/>
          <w:iCs w:val="0"/>
          <w:caps w:val="0"/>
          <w:color w:val="333333"/>
          <w:spacing w:val="0"/>
          <w:sz w:val="32"/>
          <w:szCs w:val="32"/>
        </w:rPr>
      </w:pPr>
      <w:r>
        <w:rPr>
          <w:rFonts w:hint="default" w:ascii="Times New Roman" w:hAnsi="Times New Roman" w:eastAsia="宋体" w:cs="Times New Roman"/>
          <w:i w:val="0"/>
          <w:iCs w:val="0"/>
          <w:caps w:val="0"/>
          <w:color w:val="333333"/>
          <w:spacing w:val="0"/>
          <w:kern w:val="0"/>
          <w:sz w:val="48"/>
          <w:szCs w:val="4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880"/>
        <w:jc w:val="center"/>
        <w:rPr>
          <w:rFonts w:hint="eastAsia" w:ascii="宋体" w:hAnsi="宋体" w:eastAsia="宋体" w:cs="宋体"/>
          <w:i w:val="0"/>
          <w:iCs w:val="0"/>
          <w:caps w:val="0"/>
          <w:color w:val="333333"/>
          <w:spacing w:val="0"/>
          <w:sz w:val="32"/>
          <w:szCs w:val="32"/>
        </w:rPr>
      </w:pPr>
      <w:r>
        <w:rPr>
          <w:rFonts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食品、食品添加剂生产许可现场核查评分记录表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44" w:firstLine="2806"/>
        <w:jc w:val="both"/>
        <w:rPr>
          <w:rFonts w:hint="eastAsia" w:ascii="宋体" w:hAnsi="宋体" w:eastAsia="宋体" w:cs="宋体"/>
          <w:i w:val="0"/>
          <w:iCs w:val="0"/>
          <w:caps w:val="0"/>
          <w:color w:val="333333"/>
          <w:spacing w:val="0"/>
          <w:sz w:val="32"/>
          <w:szCs w:val="32"/>
        </w:rPr>
      </w:pP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 </w:t>
      </w:r>
      <w:bookmarkStart w:id="0" w:name="_GoBack"/>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9" w:beforeAutospacing="0" w:after="0" w:afterAutospacing="0" w:line="600" w:lineRule="atLeast"/>
        <w:ind w:left="0" w:right="0" w:firstLine="2560"/>
        <w:jc w:val="both"/>
        <w:rPr>
          <w:rFonts w:hint="eastAsia" w:ascii="宋体" w:hAnsi="宋体" w:eastAsia="宋体" w:cs="宋体"/>
          <w:i w:val="0"/>
          <w:iCs w:val="0"/>
          <w:caps w:val="0"/>
          <w:color w:val="333333"/>
          <w:spacing w:val="0"/>
          <w:sz w:val="32"/>
          <w:szCs w:val="32"/>
        </w:rPr>
      </w:pPr>
      <w:r>
        <w:rPr>
          <w:rFonts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申请人名称：</w:t>
      </w:r>
      <w:r>
        <w:rPr>
          <w:rFonts w:hint="default" w:ascii="Times New Roman" w:hAnsi="Times New Roman" w:eastAsia="宋体" w:cs="Times New Roman"/>
          <w:i w:val="0"/>
          <w:iCs w:val="0"/>
          <w:caps w:val="0"/>
          <w:color w:val="333333"/>
          <w:spacing w:val="0"/>
          <w:kern w:val="0"/>
          <w:sz w:val="32"/>
          <w:szCs w:val="32"/>
          <w:u w:val="single"/>
          <w:bdr w:val="none" w:color="auto" w:sz="0" w:space="0"/>
          <w:shd w:val="clear" w:fill="FFFFFF"/>
          <w:lang w:val="en-US" w:eastAsia="zh-CN" w:bidi="ar"/>
        </w:rPr>
        <w:t>                                  </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9" w:beforeAutospacing="0" w:after="0" w:afterAutospacing="0" w:line="600" w:lineRule="atLeast"/>
        <w:ind w:left="0" w:right="0" w:firstLine="2560"/>
        <w:jc w:val="both"/>
        <w:rPr>
          <w:rFonts w:hint="eastAsia" w:ascii="宋体" w:hAnsi="宋体" w:eastAsia="宋体" w:cs="宋体"/>
          <w:i w:val="0"/>
          <w:iCs w:val="0"/>
          <w:caps w:val="0"/>
          <w:color w:val="333333"/>
          <w:spacing w:val="0"/>
          <w:sz w:val="32"/>
          <w:szCs w:val="32"/>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食品、食品添加剂类别及类别名称：</w:t>
      </w:r>
      <w:r>
        <w:rPr>
          <w:rFonts w:hint="default" w:ascii="Times New Roman" w:hAnsi="Times New Roman" w:eastAsia="宋体" w:cs="Times New Roman"/>
          <w:i w:val="0"/>
          <w:iCs w:val="0"/>
          <w:caps w:val="0"/>
          <w:color w:val="333333"/>
          <w:spacing w:val="0"/>
          <w:kern w:val="0"/>
          <w:sz w:val="32"/>
          <w:szCs w:val="32"/>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9" w:beforeAutospacing="0" w:after="0" w:afterAutospacing="0" w:line="600" w:lineRule="atLeast"/>
        <w:ind w:left="0" w:right="0" w:firstLine="2560"/>
        <w:jc w:val="both"/>
        <w:rPr>
          <w:rFonts w:hint="eastAsia" w:ascii="宋体" w:hAnsi="宋体" w:eastAsia="宋体" w:cs="宋体"/>
          <w:i w:val="0"/>
          <w:iCs w:val="0"/>
          <w:caps w:val="0"/>
          <w:color w:val="333333"/>
          <w:spacing w:val="0"/>
          <w:sz w:val="32"/>
          <w:szCs w:val="32"/>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生产场所地址：</w:t>
      </w:r>
      <w:r>
        <w:rPr>
          <w:rFonts w:hint="default" w:ascii="Times New Roman" w:hAnsi="Times New Roman" w:eastAsia="宋体" w:cs="Times New Roman"/>
          <w:i w:val="0"/>
          <w:iCs w:val="0"/>
          <w:caps w:val="0"/>
          <w:color w:val="333333"/>
          <w:spacing w:val="0"/>
          <w:kern w:val="0"/>
          <w:sz w:val="32"/>
          <w:szCs w:val="32"/>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9" w:beforeAutospacing="0" w:after="0" w:afterAutospacing="0" w:line="600" w:lineRule="atLeast"/>
        <w:ind w:left="0" w:right="0" w:firstLine="2560"/>
        <w:jc w:val="both"/>
        <w:rPr>
          <w:rFonts w:hint="eastAsia" w:ascii="宋体" w:hAnsi="宋体" w:eastAsia="宋体" w:cs="宋体"/>
          <w:i w:val="0"/>
          <w:iCs w:val="0"/>
          <w:caps w:val="0"/>
          <w:color w:val="333333"/>
          <w:spacing w:val="0"/>
          <w:sz w:val="32"/>
          <w:szCs w:val="32"/>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核查日期：</w:t>
      </w:r>
      <w:r>
        <w:rPr>
          <w:rFonts w:hint="default" w:ascii="Times New Roman" w:hAnsi="Times New Roman" w:eastAsia="宋体" w:cs="Times New Roman"/>
          <w:i w:val="0"/>
          <w:iCs w:val="0"/>
          <w:caps w:val="0"/>
          <w:color w:val="333333"/>
          <w:spacing w:val="0"/>
          <w:kern w:val="0"/>
          <w:sz w:val="32"/>
          <w:szCs w:val="32"/>
          <w:u w:val="single"/>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宋体" w:cs="Times New Roman"/>
          <w:i w:val="0"/>
          <w:iCs w:val="0"/>
          <w:caps w:val="0"/>
          <w:color w:val="333333"/>
          <w:spacing w:val="0"/>
          <w:kern w:val="0"/>
          <w:sz w:val="32"/>
          <w:szCs w:val="32"/>
          <w:u w:val="single"/>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宋体" w:cs="Times New Roman"/>
          <w:i w:val="0"/>
          <w:iCs w:val="0"/>
          <w:caps w:val="0"/>
          <w:color w:val="333333"/>
          <w:spacing w:val="0"/>
          <w:kern w:val="0"/>
          <w:sz w:val="32"/>
          <w:szCs w:val="32"/>
          <w:u w:val="single"/>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9" w:beforeAutospacing="0" w:after="0" w:afterAutospacing="0" w:line="600" w:lineRule="atLeast"/>
        <w:ind w:left="0" w:right="0" w:firstLine="2560"/>
        <w:jc w:val="both"/>
        <w:rPr>
          <w:rFonts w:hint="eastAsia" w:ascii="宋体" w:hAnsi="宋体" w:eastAsia="宋体" w:cs="宋体"/>
          <w:i w:val="0"/>
          <w:iCs w:val="0"/>
          <w:caps w:val="0"/>
          <w:color w:val="333333"/>
          <w:spacing w:val="0"/>
          <w:sz w:val="32"/>
          <w:szCs w:val="32"/>
        </w:rPr>
      </w:pP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 </w:t>
      </w:r>
    </w:p>
    <w:tbl>
      <w:tblPr>
        <w:tblW w:w="1238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08"/>
        <w:gridCol w:w="1979"/>
        <w:gridCol w:w="4684"/>
        <w:gridCol w:w="1134"/>
        <w:gridCol w:w="39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22" w:hRule="atLeast"/>
          <w:jc w:val="center"/>
        </w:trPr>
        <w:tc>
          <w:tcPr>
            <w:tcW w:w="608"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eastAsia" w:ascii="黑体" w:hAnsi="宋体" w:eastAsia="黑体" w:cs="黑体"/>
                <w:kern w:val="0"/>
                <w:sz w:val="24"/>
                <w:szCs w:val="24"/>
                <w:bdr w:val="none" w:color="auto" w:sz="0" w:space="0"/>
                <w:lang w:val="en-US" w:eastAsia="zh-CN" w:bidi="ar"/>
              </w:rPr>
              <w:t>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eastAsia" w:ascii="黑体" w:hAnsi="宋体" w:eastAsia="黑体" w:cs="黑体"/>
                <w:kern w:val="0"/>
                <w:sz w:val="24"/>
                <w:szCs w:val="24"/>
                <w:bdr w:val="none" w:color="auto" w:sz="0" w:space="0"/>
                <w:lang w:val="en-US" w:eastAsia="zh-CN" w:bidi="ar"/>
              </w:rPr>
              <w:t>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eastAsia" w:ascii="黑体" w:hAnsi="宋体" w:eastAsia="黑体" w:cs="黑体"/>
                <w:kern w:val="0"/>
                <w:sz w:val="24"/>
                <w:szCs w:val="24"/>
                <w:bdr w:val="none" w:color="auto" w:sz="0" w:space="0"/>
                <w:lang w:val="en-US" w:eastAsia="zh-CN" w:bidi="ar"/>
              </w:rPr>
              <w:t>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eastAsia" w:ascii="黑体" w:hAnsi="宋体" w:eastAsia="黑体" w:cs="黑体"/>
                <w:kern w:val="0"/>
                <w:sz w:val="24"/>
                <w:szCs w:val="24"/>
                <w:bdr w:val="none" w:color="auto" w:sz="0" w:space="0"/>
                <w:lang w:val="en-US" w:eastAsia="zh-CN" w:bidi="ar"/>
              </w:rPr>
              <w:t>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eastAsia" w:ascii="黑体" w:hAnsi="宋体" w:eastAsia="黑体" w:cs="黑体"/>
                <w:kern w:val="0"/>
                <w:sz w:val="24"/>
                <w:szCs w:val="24"/>
                <w:bdr w:val="none" w:color="auto" w:sz="0" w:space="0"/>
                <w:lang w:val="en-US" w:eastAsia="zh-CN" w:bidi="ar"/>
              </w:rPr>
              <w:t>员</w:t>
            </w:r>
          </w:p>
        </w:tc>
        <w:tc>
          <w:tcPr>
            <w:tcW w:w="197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eastAsia" w:ascii="黑体" w:hAnsi="宋体" w:eastAsia="黑体" w:cs="黑体"/>
                <w:kern w:val="0"/>
                <w:sz w:val="24"/>
                <w:szCs w:val="24"/>
                <w:bdr w:val="none" w:color="auto" w:sz="0" w:space="0"/>
                <w:lang w:val="en-US" w:eastAsia="zh-CN" w:bidi="ar"/>
              </w:rPr>
              <w:t>姓名（签名）</w:t>
            </w:r>
          </w:p>
        </w:tc>
        <w:tc>
          <w:tcPr>
            <w:tcW w:w="4684"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eastAsia" w:ascii="黑体" w:hAnsi="宋体" w:eastAsia="黑体" w:cs="黑体"/>
                <w:kern w:val="0"/>
                <w:sz w:val="24"/>
                <w:szCs w:val="24"/>
                <w:bdr w:val="none" w:color="auto" w:sz="0" w:space="0"/>
                <w:lang w:val="en-US" w:eastAsia="zh-CN" w:bidi="ar"/>
              </w:rPr>
              <w:t>单位</w:t>
            </w:r>
          </w:p>
        </w:tc>
        <w:tc>
          <w:tcPr>
            <w:tcW w:w="1134"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eastAsia" w:ascii="黑体" w:hAnsi="宋体" w:eastAsia="黑体" w:cs="黑体"/>
                <w:kern w:val="0"/>
                <w:sz w:val="24"/>
                <w:szCs w:val="24"/>
                <w:bdr w:val="none" w:color="auto" w:sz="0" w:space="0"/>
                <w:lang w:val="en-US" w:eastAsia="zh-CN" w:bidi="ar"/>
              </w:rPr>
              <w:t>职务</w:t>
            </w:r>
          </w:p>
        </w:tc>
        <w:tc>
          <w:tcPr>
            <w:tcW w:w="397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eastAsia" w:ascii="黑体" w:hAnsi="宋体" w:eastAsia="黑体" w:cs="黑体"/>
                <w:kern w:val="0"/>
                <w:sz w:val="24"/>
                <w:szCs w:val="24"/>
                <w:bdr w:val="none" w:color="auto" w:sz="0" w:space="0"/>
                <w:lang w:val="en-US" w:eastAsia="zh-CN" w:bidi="ar"/>
              </w:rPr>
              <w:t>核查分工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22" w:hRule="atLeast"/>
          <w:jc w:val="center"/>
        </w:trPr>
        <w:tc>
          <w:tcPr>
            <w:tcW w:w="60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rPr>
            </w:pPr>
          </w:p>
        </w:tc>
        <w:tc>
          <w:tcPr>
            <w:tcW w:w="19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c>
          <w:tcPr>
            <w:tcW w:w="468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仿宋_GB2312" w:hAnsi="Times New Roman" w:eastAsia="仿宋_GB2312" w:cs="仿宋_GB2312"/>
                <w:kern w:val="0"/>
                <w:sz w:val="24"/>
                <w:szCs w:val="24"/>
                <w:bdr w:val="none" w:color="auto" w:sz="0" w:space="0"/>
                <w:lang w:val="en-US" w:eastAsia="zh-CN" w:bidi="ar"/>
              </w:rPr>
              <w:t>组长</w:t>
            </w:r>
          </w:p>
        </w:tc>
        <w:tc>
          <w:tcPr>
            <w:tcW w:w="39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22" w:hRule="atLeast"/>
          <w:jc w:val="center"/>
        </w:trPr>
        <w:tc>
          <w:tcPr>
            <w:tcW w:w="60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rPr>
            </w:pPr>
          </w:p>
        </w:tc>
        <w:tc>
          <w:tcPr>
            <w:tcW w:w="19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c>
          <w:tcPr>
            <w:tcW w:w="468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仿宋_GB2312" w:hAnsi="Times New Roman" w:eastAsia="仿宋_GB2312" w:cs="仿宋_GB2312"/>
                <w:kern w:val="0"/>
                <w:sz w:val="24"/>
                <w:szCs w:val="24"/>
                <w:bdr w:val="none" w:color="auto" w:sz="0" w:space="0"/>
                <w:lang w:val="en-US" w:eastAsia="zh-CN" w:bidi="ar"/>
              </w:rPr>
              <w:t>组员</w:t>
            </w:r>
          </w:p>
        </w:tc>
        <w:tc>
          <w:tcPr>
            <w:tcW w:w="39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22" w:hRule="atLeast"/>
          <w:jc w:val="center"/>
        </w:trPr>
        <w:tc>
          <w:tcPr>
            <w:tcW w:w="60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rPr>
            </w:pPr>
          </w:p>
        </w:tc>
        <w:tc>
          <w:tcPr>
            <w:tcW w:w="19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c>
          <w:tcPr>
            <w:tcW w:w="468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仿宋_GB2312" w:hAnsi="Times New Roman" w:eastAsia="仿宋_GB2312" w:cs="仿宋_GB2312"/>
                <w:kern w:val="0"/>
                <w:sz w:val="24"/>
                <w:szCs w:val="24"/>
                <w:bdr w:val="none" w:color="auto" w:sz="0" w:space="0"/>
                <w:lang w:val="en-US" w:eastAsia="zh-CN" w:bidi="ar"/>
              </w:rPr>
              <w:t>组员</w:t>
            </w:r>
          </w:p>
        </w:tc>
        <w:tc>
          <w:tcPr>
            <w:tcW w:w="39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22" w:hRule="atLeast"/>
          <w:jc w:val="center"/>
        </w:trPr>
        <w:tc>
          <w:tcPr>
            <w:tcW w:w="60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rPr>
            </w:pPr>
          </w:p>
        </w:tc>
        <w:tc>
          <w:tcPr>
            <w:tcW w:w="19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c>
          <w:tcPr>
            <w:tcW w:w="468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c>
          <w:tcPr>
            <w:tcW w:w="39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22" w:hRule="atLeast"/>
          <w:jc w:val="center"/>
        </w:trPr>
        <w:tc>
          <w:tcPr>
            <w:tcW w:w="60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rPr>
            </w:pPr>
          </w:p>
        </w:tc>
        <w:tc>
          <w:tcPr>
            <w:tcW w:w="19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c>
          <w:tcPr>
            <w:tcW w:w="468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c>
          <w:tcPr>
            <w:tcW w:w="39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2" w:hRule="atLeast"/>
          <w:jc w:val="center"/>
        </w:trPr>
        <w:tc>
          <w:tcPr>
            <w:tcW w:w="60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rPr>
            </w:pPr>
          </w:p>
        </w:tc>
        <w:tc>
          <w:tcPr>
            <w:tcW w:w="19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c>
          <w:tcPr>
            <w:tcW w:w="468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c>
          <w:tcPr>
            <w:tcW w:w="39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sz w:val="32"/>
                <w:szCs w:val="32"/>
              </w:rPr>
            </w:pPr>
            <w:r>
              <w:rPr>
                <w:rFonts w:hint="default" w:ascii="Times New Roman" w:hAnsi="Times New Roman" w:eastAsia="微软雅黑" w:cs="Times New Roman"/>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720"/>
        <w:jc w:val="center"/>
        <w:rPr>
          <w:rFonts w:hint="eastAsia" w:ascii="宋体" w:hAnsi="宋体" w:eastAsia="宋体" w:cs="宋体"/>
          <w:i w:val="0"/>
          <w:iCs w:val="0"/>
          <w:caps w:val="0"/>
          <w:color w:val="333333"/>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880"/>
        <w:jc w:val="center"/>
        <w:rPr>
          <w:rFonts w:hint="eastAsia" w:ascii="宋体" w:hAnsi="宋体" w:eastAsia="宋体" w:cs="宋体"/>
          <w:i w:val="0"/>
          <w:iCs w:val="0"/>
          <w:caps w:val="0"/>
          <w:color w:val="333333"/>
          <w:spacing w:val="0"/>
          <w:sz w:val="32"/>
          <w:szCs w:val="32"/>
        </w:rPr>
      </w:pPr>
      <w:r>
        <w:rPr>
          <w:rFonts w:hint="default"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使用说明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32"/>
          <w:szCs w:val="32"/>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32"/>
          <w:szCs w:val="32"/>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1. </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本记录表依据《中华人民共和国食品安全法》及其实施条例、《食品生产许可管理办法》等法律法规、规章以及相关食品安全国家标准的要求制定。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32"/>
          <w:szCs w:val="32"/>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2. </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本记录表应当结合相应食品生产许可审查细则要求使用。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32"/>
          <w:szCs w:val="32"/>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3. </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本记录表包括生产场所（</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18</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分）、设备设施（</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36</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分）、设备布局和工艺流程（</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9</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分）、人员管理（</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9</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分）、管理制度（</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27</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分）以及试制食品检验合格报告（</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分）六部分，共</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34</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个核查项目。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32"/>
          <w:szCs w:val="32"/>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4. </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核查组应当按照核查项目规定的核查内容及评分标准核查评分，并将发现的问题详实地记录在“核查记录”栏目中。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32"/>
          <w:szCs w:val="32"/>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5. </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现场核查评分原则：现场核查评分标准分为符合要求、基本符合要求、不符合要求。符合要求，是指现场核查情况全部符合“核查内容”要求，得</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分；基本符合要求，是指现场核查发现的问题属于个别、轻微或偶然发生，不会对食品安全产生严重影响，可在规定时间内通过整改达到食品安全要求的，得</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分；不符合要求，是指现场核查发现的问题属于申请人内部普遍、严重、系统性或区域性缺陷，可能影响食品安全的，得</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0</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32"/>
          <w:szCs w:val="32"/>
        </w:rPr>
      </w:pP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试制食品检验报告核查判定得分为</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分、</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0.5</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分和</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0</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32"/>
          <w:szCs w:val="32"/>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6. </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现场核查结论判定原则：核查项目单项得分无</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0</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分且总得分率≥</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85%</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的，该类别名称及品种明细判定为通过现场核查。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32"/>
          <w:szCs w:val="32"/>
        </w:rPr>
      </w:pP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当出现以下两种情况之一时，该类别名称及品种明细判定为未通过现场核查：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32"/>
          <w:szCs w:val="32"/>
        </w:rPr>
      </w:pP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1</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）有一项及以上核查项目得</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0</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32"/>
          <w:szCs w:val="32"/>
        </w:rPr>
      </w:pP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2</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）核查项目总得分率＜</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85%</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480"/>
        <w:jc w:val="both"/>
        <w:rPr>
          <w:rFonts w:hint="eastAsia" w:ascii="宋体" w:hAnsi="宋体" w:eastAsia="宋体" w:cs="宋体"/>
          <w:i w:val="0"/>
          <w:iCs w:val="0"/>
          <w:caps w:val="0"/>
          <w:color w:val="333333"/>
          <w:spacing w:val="0"/>
          <w:sz w:val="32"/>
          <w:szCs w:val="32"/>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7. </w:t>
      </w:r>
      <w:r>
        <w:rPr>
          <w:rFonts w:hint="default" w:ascii="仿宋_GB2312" w:hAnsi="宋体" w:eastAsia="仿宋_GB2312" w:cs="仿宋_GB2312"/>
          <w:i w:val="0"/>
          <w:iCs w:val="0"/>
          <w:caps w:val="0"/>
          <w:color w:val="333333"/>
          <w:spacing w:val="0"/>
          <w:kern w:val="0"/>
          <w:sz w:val="24"/>
          <w:szCs w:val="24"/>
          <w:bdr w:val="none" w:color="auto" w:sz="0" w:space="0"/>
          <w:shd w:val="clear" w:fill="FFFFFF"/>
          <w:lang w:val="en-US" w:eastAsia="zh-CN" w:bidi="ar"/>
        </w:rPr>
        <w:t>某个核查项目不适用时，不参与评分，并在“核查记录”栏目中说明不适用的原因。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9" w:beforeAutospacing="0" w:after="319" w:afterAutospacing="0" w:line="400" w:lineRule="atLeast"/>
        <w:ind w:left="0" w:right="0" w:firstLine="480"/>
        <w:jc w:val="cente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9" w:beforeAutospacing="0" w:after="319" w:afterAutospacing="0" w:line="400" w:lineRule="atLeast"/>
        <w:ind w:left="0" w:right="0" w:firstLine="480"/>
        <w:jc w:val="center"/>
        <w:rPr>
          <w:rFonts w:hint="eastAsia" w:ascii="宋体" w:hAnsi="宋体" w:eastAsia="宋体" w:cs="宋体"/>
          <w:i w:val="0"/>
          <w:iCs w:val="0"/>
          <w:caps w:val="0"/>
          <w:color w:val="333333"/>
          <w:spacing w:val="0"/>
          <w:sz w:val="32"/>
          <w:szCs w:val="3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一、生产场所（共</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18</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分）</w:t>
      </w:r>
    </w:p>
    <w:tbl>
      <w:tblPr>
        <w:tblW w:w="134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24"/>
        <w:gridCol w:w="1418"/>
        <w:gridCol w:w="3969"/>
        <w:gridCol w:w="2976"/>
        <w:gridCol w:w="426"/>
        <w:gridCol w:w="1275"/>
        <w:gridCol w:w="2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2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序号</w:t>
            </w:r>
          </w:p>
        </w:tc>
        <w:tc>
          <w:tcPr>
            <w:tcW w:w="1418"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核查项目</w:t>
            </w:r>
          </w:p>
        </w:tc>
        <w:tc>
          <w:tcPr>
            <w:tcW w:w="3969"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核查内容</w:t>
            </w:r>
          </w:p>
        </w:tc>
        <w:tc>
          <w:tcPr>
            <w:tcW w:w="3402"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评分标准</w:t>
            </w:r>
          </w:p>
        </w:tc>
        <w:tc>
          <w:tcPr>
            <w:tcW w:w="1275"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核查得分</w:t>
            </w:r>
          </w:p>
        </w:tc>
        <w:tc>
          <w:tcPr>
            <w:tcW w:w="2694"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2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1.1</w:t>
            </w:r>
          </w:p>
        </w:tc>
        <w:tc>
          <w:tcPr>
            <w:tcW w:w="1418"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厂区要求</w:t>
            </w:r>
          </w:p>
        </w:tc>
        <w:tc>
          <w:tcPr>
            <w:tcW w:w="3969"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r>
              <w:rPr>
                <w:rFonts w:hint="default" w:ascii="Times New Roman" w:hAnsi="Times New Roman" w:eastAsia="微软雅黑" w:cs="Times New Roman"/>
                <w:i w:val="0"/>
                <w:iCs w:val="0"/>
                <w:caps w:val="0"/>
                <w:color w:val="333333"/>
                <w:spacing w:val="0"/>
                <w:kern w:val="0"/>
                <w:sz w:val="32"/>
                <w:szCs w:val="32"/>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厂区不应选择对食品有显著污染的区域。厂区周围无虫害大量孳生的潜在场所，无有害废弃物以及粉尘、有害气体、放射性物质和其他扩散性污染源。各类污染源难以避开时应当有必要的防范措施，能有效清除污染源造成的影响。现场</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提</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供</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的</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《食品</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生产加工场所</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周围</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环境平面图</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与实际一致。</w:t>
            </w: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4"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有污染源防范措施，效果不明显，可通过改善防范措施有效清除污染源造成的影响。现场提供的</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平面图与实际不一致。</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无污染源防范措施，或者污染源防范措施无效果。</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2.</w:t>
            </w:r>
            <w:r>
              <w:rPr>
                <w:rFonts w:hint="default" w:ascii="Times New Roman" w:hAnsi="Times New Roman" w:eastAsia="微软雅黑" w:cs="Times New Roman"/>
                <w:i w:val="0"/>
                <w:iCs w:val="0"/>
                <w:caps w:val="0"/>
                <w:color w:val="333333"/>
                <w:spacing w:val="0"/>
                <w:kern w:val="0"/>
                <w:sz w:val="32"/>
                <w:szCs w:val="32"/>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厂区环境整洁，无扬尘或积水现象。各功能区划分明显，布局合理。现场</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提供的《</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食品</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生产加工场所平面图》与实际一致。</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生活区与生产区保持适当距离或分隔，防止交叉污染。厂区道路应当采用硬质材料铺设。厂区绿化应当与生产车间保持适当距离，植被应当定期维护，防止虫害孳生。</w:t>
            </w: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4"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厂区环境、布局、功能区划分、绿化带位置及维护等略有不足。现场提供的</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平面图与实际不一致。</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厂区环境不整洁；厂区布局不合理，或者生活区与生产区未保持适当距离或分隔，并存在交叉污染。</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2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1.2</w:t>
            </w:r>
          </w:p>
        </w:tc>
        <w:tc>
          <w:tcPr>
            <w:tcW w:w="1418"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厂房和车间</w:t>
            </w:r>
          </w:p>
        </w:tc>
        <w:tc>
          <w:tcPr>
            <w:tcW w:w="3969"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r>
              <w:rPr>
                <w:rFonts w:hint="default" w:ascii="Times New Roman" w:hAnsi="Times New Roman" w:eastAsia="微软雅黑" w:cs="Times New Roman"/>
                <w:i w:val="0"/>
                <w:iCs w:val="0"/>
                <w:caps w:val="0"/>
                <w:color w:val="333333"/>
                <w:spacing w:val="0"/>
                <w:kern w:val="0"/>
                <w:sz w:val="32"/>
                <w:szCs w:val="32"/>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应当具有与生产的产品品种、数量相适应的厂房和车间，并根据生产工艺及清洁程度的要求合理布局和划分作业区，避免交叉污染；厂房内设置的检验室应当与生产区域分隔。现场</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提供的《</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食品</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生产加工场所各功能区间布局</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平面图</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》与实际一致。</w:t>
            </w: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4"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作业区布局和划分存在轻微缺陷。现场提供的</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平面图与实际不一致。</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厂房面积与空间不能满足生产需求，或者作业区布局和划分不合理，或者检验室未与生产区域分隔。</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2.</w:t>
            </w:r>
            <w:r>
              <w:rPr>
                <w:rFonts w:hint="default" w:ascii="Times New Roman" w:hAnsi="Times New Roman" w:eastAsia="微软雅黑" w:cs="Times New Roman"/>
                <w:i w:val="0"/>
                <w:iCs w:val="0"/>
                <w:caps w:val="0"/>
                <w:color w:val="333333"/>
                <w:spacing w:val="0"/>
                <w:kern w:val="0"/>
                <w:sz w:val="32"/>
                <w:szCs w:val="32"/>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车间保持清洁，顶棚、墙壁、门窗和地面应当采用无毒、无味、防渗透、防霉、不易破损脱落的材料建造，结构合理，易于清洁；顶棚结构不利于冷凝水垂直滴落，裸露食品上方的管路应当有防止灰尘散落及水滴掉落的措施；门窗应当闭合严密，不透水、不变形，并有防止虫害侵入的措施；地面应当平坦防滑、无裂缝。</w:t>
            </w: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4"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车间清洁程度以及顶棚、墙壁、地面和门窗或者相关防护措施略有不足。</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严重不符合规定要求。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2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1.3</w:t>
            </w:r>
          </w:p>
        </w:tc>
        <w:tc>
          <w:tcPr>
            <w:tcW w:w="1418"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库房要求</w:t>
            </w:r>
          </w:p>
        </w:tc>
        <w:tc>
          <w:tcPr>
            <w:tcW w:w="3969"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r>
              <w:rPr>
                <w:rFonts w:hint="default" w:ascii="Times New Roman" w:hAnsi="Times New Roman" w:eastAsia="微软雅黑" w:cs="Times New Roman"/>
                <w:i w:val="0"/>
                <w:iCs w:val="0"/>
                <w:caps w:val="0"/>
                <w:color w:val="333333"/>
                <w:spacing w:val="0"/>
                <w:kern w:val="0"/>
                <w:sz w:val="32"/>
                <w:szCs w:val="32"/>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应当具有与所生产产品的数量、贮存要求相适应的，</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与《</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食品</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生产加工场所平面图》</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《食品</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生产加工场所各功能区间布局</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平面图》中</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标注的库房一致</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。库房整洁，地面平整，易于维护、清洁，防止虫害侵入和藏匿。必要时库房应当设置相适应的温度、湿度控制等设施。</w:t>
            </w: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4"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库房整洁程度或者相关设施略有不足。实际</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库房与平面图标注不一致。</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严重不符合规定要求。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2.</w:t>
            </w:r>
            <w:r>
              <w:rPr>
                <w:rFonts w:hint="default" w:ascii="Times New Roman" w:hAnsi="Times New Roman" w:eastAsia="微软雅黑" w:cs="Times New Roman"/>
                <w:i w:val="0"/>
                <w:iCs w:val="0"/>
                <w:caps w:val="0"/>
                <w:color w:val="333333"/>
                <w:spacing w:val="0"/>
                <w:kern w:val="0"/>
                <w:sz w:val="32"/>
                <w:szCs w:val="32"/>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原料、半成品、成品、包装材料等应当依据性质的不同分设库房或分区存放。清洁剂、消毒剂、杀虫剂、润滑剂、燃料等物料应当分别安全包装，与原料、半成品、成品、包装材料等分隔放置。库房内的物料应当与墙壁、地面保持适当距离，并明确标识，防止交叉污染。</w:t>
            </w: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4"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物料存放或标识略有不足。</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原料、半成品、成品、包装材料等与清洁剂、消毒剂、杀虫剂、润滑剂、燃料等物料未分隔存放；物料无标识或标识混乱。</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9" w:beforeAutospacing="0" w:after="319" w:afterAutospacing="0" w:line="400" w:lineRule="atLeast"/>
        <w:ind w:left="0" w:right="0" w:firstLine="640"/>
        <w:jc w:val="center"/>
        <w:rPr>
          <w:rFonts w:hint="eastAsia" w:ascii="宋体" w:hAnsi="宋体" w:eastAsia="宋体" w:cs="宋体"/>
          <w:i w:val="0"/>
          <w:iCs w:val="0"/>
          <w:caps w:val="0"/>
          <w:color w:val="333333"/>
          <w:spacing w:val="0"/>
          <w:sz w:val="32"/>
          <w:szCs w:val="3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二、设备设施（共</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36</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分）</w:t>
      </w:r>
    </w:p>
    <w:tbl>
      <w:tblPr>
        <w:tblW w:w="1348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24"/>
        <w:gridCol w:w="1418"/>
        <w:gridCol w:w="3970"/>
        <w:gridCol w:w="2977"/>
        <w:gridCol w:w="426"/>
        <w:gridCol w:w="1275"/>
        <w:gridCol w:w="2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序号</w:t>
            </w:r>
          </w:p>
        </w:tc>
        <w:tc>
          <w:tcPr>
            <w:tcW w:w="1418"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核查项目</w:t>
            </w:r>
          </w:p>
        </w:tc>
        <w:tc>
          <w:tcPr>
            <w:tcW w:w="39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核查内容</w:t>
            </w:r>
          </w:p>
        </w:tc>
        <w:tc>
          <w:tcPr>
            <w:tcW w:w="3403"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评分标准</w:t>
            </w:r>
          </w:p>
        </w:tc>
        <w:tc>
          <w:tcPr>
            <w:tcW w:w="1275"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核查得分</w:t>
            </w:r>
          </w:p>
        </w:tc>
        <w:tc>
          <w:tcPr>
            <w:tcW w:w="2695"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核查记录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2.1</w:t>
            </w:r>
          </w:p>
        </w:tc>
        <w:tc>
          <w:tcPr>
            <w:tcW w:w="1418"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生产设备</w:t>
            </w:r>
          </w:p>
        </w:tc>
        <w:tc>
          <w:tcPr>
            <w:tcW w:w="397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r>
              <w:rPr>
                <w:rFonts w:hint="default" w:ascii="Times New Roman" w:hAnsi="Times New Roman" w:eastAsia="微软雅黑" w:cs="Times New Roman"/>
                <w:i w:val="0"/>
                <w:iCs w:val="0"/>
                <w:caps w:val="0"/>
                <w:color w:val="333333"/>
                <w:spacing w:val="0"/>
                <w:kern w:val="0"/>
                <w:sz w:val="32"/>
                <w:szCs w:val="32"/>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应当配备与生产的产品品种、数量相适应的生产设备，设备的性能和精度应当满足生产加工的要求。</w:t>
            </w: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5"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个别设备的性能和精度略有不足。</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生产设备不能满足生产加工要求。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2.</w:t>
            </w:r>
            <w:r>
              <w:rPr>
                <w:rFonts w:hint="default" w:ascii="Times New Roman" w:hAnsi="Times New Roman" w:eastAsia="微软雅黑" w:cs="Times New Roman"/>
                <w:i w:val="0"/>
                <w:iCs w:val="0"/>
                <w:caps w:val="0"/>
                <w:color w:val="333333"/>
                <w:spacing w:val="0"/>
                <w:kern w:val="0"/>
                <w:sz w:val="32"/>
                <w:szCs w:val="32"/>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生产设备清洁卫生，直接接触原料、半成品、成品的设备、工器具材质应当无毒、无味、抗腐蚀、不易脱落，表面光滑、无吸收性，易于清洁保养和消毒。</w:t>
            </w: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设备清洁卫生程度或者设备材质略有不足。</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严重不符合规定要求。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3. </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生产设备维修保养良好，并做好记录。用于监测、控制、记录的设备应当定期校准、维护。停用的设备需标注清晰，不影响正常生产。</w:t>
            </w: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c>
          <w:tcPr>
            <w:tcW w:w="269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维修保养、记录略有不足，或者个别监测设备未校准。</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c>
          <w:tcPr>
            <w:tcW w:w="269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无维修保养记录，或者监测设备无法满足规定要求。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c>
          <w:tcPr>
            <w:tcW w:w="269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2.2</w:t>
            </w:r>
          </w:p>
        </w:tc>
        <w:tc>
          <w:tcPr>
            <w:tcW w:w="1418"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供排水设施</w:t>
            </w:r>
          </w:p>
        </w:tc>
        <w:tc>
          <w:tcPr>
            <w:tcW w:w="397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r>
              <w:rPr>
                <w:rFonts w:hint="default" w:ascii="Times New Roman" w:hAnsi="Times New Roman" w:eastAsia="微软雅黑" w:cs="Times New Roman"/>
                <w:i w:val="0"/>
                <w:iCs w:val="0"/>
                <w:caps w:val="0"/>
                <w:color w:val="333333"/>
                <w:spacing w:val="0"/>
                <w:kern w:val="0"/>
                <w:sz w:val="32"/>
                <w:szCs w:val="32"/>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食品加工用水的水质应当符合</w:t>
            </w: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GB 5749</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的规定，有特殊要求的应当符合相应规定。食品加工用水与其他不与食品接触的用水应当以完全分离的管路输送，避免交叉污染。各管路系统应当明确标识以便区分。</w:t>
            </w: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供水管路标识略有不足。</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食品加工用水的水质不符合规定要求，或者供水管路无标识或标识混乱，或者供水管路存在交叉污染。</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2.</w:t>
            </w:r>
            <w:r>
              <w:rPr>
                <w:rFonts w:hint="default" w:ascii="Times New Roman" w:hAnsi="Times New Roman" w:eastAsia="微软雅黑" w:cs="Times New Roman"/>
                <w:i w:val="0"/>
                <w:iCs w:val="0"/>
                <w:caps w:val="0"/>
                <w:color w:val="333333"/>
                <w:spacing w:val="0"/>
                <w:kern w:val="0"/>
                <w:sz w:val="32"/>
                <w:szCs w:val="32"/>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排水系统的设计和建造应保证排水畅通，便于清洁维护，且满足生产的需要。室内排水应当由清洁程度高的区域流向清洁程度低的区域，且有防止逆流的措施。排水系统出入口设计合理并有防止污染和虫害侵入的措施。</w:t>
            </w: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排水略有不畅，或者相关防护措施略有不足。</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排水不畅，或者室内排水流向不符合要求，或者相关防护措施严重不足。</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2.3</w:t>
            </w:r>
          </w:p>
        </w:tc>
        <w:tc>
          <w:tcPr>
            <w:tcW w:w="1418"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清洁消毒设施</w:t>
            </w:r>
          </w:p>
        </w:tc>
        <w:tc>
          <w:tcPr>
            <w:tcW w:w="397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应当配备相应的食品、工器具和设备等的专用清洁设施，必要时配备相应的消毒设施。清洁、消毒方式应当避免对产品造成交叉污染，使用的洗涤剂、消毒剂应当符合相关规定要求。</w:t>
            </w: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清洁消毒设施略有不足。</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清洁消毒设施严重不足，或者清洁消毒的方式、用品不符合规定要求。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2.4</w:t>
            </w:r>
          </w:p>
        </w:tc>
        <w:tc>
          <w:tcPr>
            <w:tcW w:w="1418"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废弃物存放设施</w:t>
            </w:r>
          </w:p>
        </w:tc>
        <w:tc>
          <w:tcPr>
            <w:tcW w:w="397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应当配备设计合理、防止渗漏、易于清洁的存放废弃物的专用设施，必要时可设置废弃物临时存放设施。车间内存放废弃物的设施和容器应当标识清晰，不得与盛装原料、半成品、成品的容器混用。</w:t>
            </w: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废弃物存放设施及标识略有不足。</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废弃物存放设施设计不合理，或者与盛装原料、半成品、成品的容器混用。</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2.5</w:t>
            </w:r>
          </w:p>
        </w:tc>
        <w:tc>
          <w:tcPr>
            <w:tcW w:w="1418"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个人卫生设施</w:t>
            </w: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　</w:t>
            </w:r>
          </w:p>
        </w:tc>
        <w:tc>
          <w:tcPr>
            <w:tcW w:w="397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生产场所或车间入口处应当设置更衣室，更衣室应当保证工作服与个人服装及其他物品分开放置；车间入口及车间内必要处，应当按需设置换鞋（或穿戴鞋套）设施或鞋靴消毒设施；清洁作业区入口应当设置与生产加工人员数量相匹配的非手动式洗手、干手和消毒设施；洗手设施的材质、结构应当易于清洁消毒，临近位置应当标示洗手方法。卫生间应当易于保持清洁，不得与生产、包装或贮存等区域直接连通，卫生间内的适当位置应当设置洗手设施。</w:t>
            </w: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个人卫生设施略有不足。</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个人卫生设施严重不符合要求。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2.6</w:t>
            </w:r>
          </w:p>
        </w:tc>
        <w:tc>
          <w:tcPr>
            <w:tcW w:w="1418"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通风设施</w:t>
            </w:r>
          </w:p>
        </w:tc>
        <w:tc>
          <w:tcPr>
            <w:tcW w:w="397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具有适宜的通风设施，进气口位置合理，避免空气从清洁程度要求低的作业区域流向清洁程度要求高的作业区域。必要时应当安装空气过滤装置和除尘设施。通风设施应当易于清洁、维修或更换，能防止虫害侵入。</w:t>
            </w: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通风设施略有不足。</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通风设施严重不足，或者不能满足必要的空气过滤净化、除尘、防止虫害侵入的需求。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2.7</w:t>
            </w:r>
          </w:p>
        </w:tc>
        <w:tc>
          <w:tcPr>
            <w:tcW w:w="1418"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照明设施</w:t>
            </w:r>
          </w:p>
        </w:tc>
        <w:tc>
          <w:tcPr>
            <w:tcW w:w="397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厂房内应当有充足的自然采光或人工照明，光泽和亮度应能满足生产和操作需要，光源应能使物料呈现真实的颜色。在暴露原料、半成品、成品正上方的照明设施应当使用安全型或有防护措施的照明设施；如需要，还应当配备应急照明设施。</w:t>
            </w: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照明设施或者防护措施略有不足，光泽和亮度略显不足，或改变物料真实颜色。</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照明设施或者防护措施严重不足。</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2.8</w:t>
            </w:r>
          </w:p>
        </w:tc>
        <w:tc>
          <w:tcPr>
            <w:tcW w:w="1418"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温控设施</w:t>
            </w:r>
          </w:p>
        </w:tc>
        <w:tc>
          <w:tcPr>
            <w:tcW w:w="397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应当根据生产的需要，配备适宜的加热、冷却、冷冻以及用于监测温度和控制室温的设施。</w:t>
            </w: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温控或监测设施略有不足。</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温控或监测设施严重不足。</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2.9</w:t>
            </w:r>
          </w:p>
        </w:tc>
        <w:tc>
          <w:tcPr>
            <w:tcW w:w="1418"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检验设备设施</w:t>
            </w:r>
          </w:p>
        </w:tc>
        <w:tc>
          <w:tcPr>
            <w:tcW w:w="397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自行检验或部分自行检验的，应当具备与所检项目相适应的检验室、检验仪器设备和检验试剂。检验室应当布局合理，检验仪器设备的数量、性能、精度应当满足相应的检验需求，检验仪器设备应当按期检定或校准。</w:t>
            </w: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检验室布局略不合理，或者检验仪器设备性能略有不足，或者个别检验仪器设备未按期检定或校准。</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 w:hRule="atLeast"/>
        </w:trPr>
        <w:tc>
          <w:tcPr>
            <w:tcW w:w="72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7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检验室布局不合理，或者检验仪器设备数量、性能、</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精度</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不能满足检验需求，或者检验仪器设备未检定或校准。</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9" w:beforeAutospacing="0" w:after="319" w:afterAutospacing="0" w:line="400" w:lineRule="atLeast"/>
        <w:ind w:left="0" w:right="0" w:firstLine="640"/>
        <w:jc w:val="center"/>
        <w:rPr>
          <w:rFonts w:hint="eastAsia" w:ascii="宋体" w:hAnsi="宋体" w:eastAsia="宋体" w:cs="宋体"/>
          <w:i w:val="0"/>
          <w:iCs w:val="0"/>
          <w:caps w:val="0"/>
          <w:color w:val="333333"/>
          <w:spacing w:val="0"/>
          <w:sz w:val="32"/>
          <w:szCs w:val="3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三、设备布局和工艺流程（共</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9</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分）</w:t>
      </w:r>
    </w:p>
    <w:tbl>
      <w:tblPr>
        <w:tblW w:w="134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19"/>
        <w:gridCol w:w="1418"/>
        <w:gridCol w:w="3969"/>
        <w:gridCol w:w="2976"/>
        <w:gridCol w:w="457"/>
        <w:gridCol w:w="1263"/>
        <w:gridCol w:w="2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1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序号</w:t>
            </w:r>
          </w:p>
        </w:tc>
        <w:tc>
          <w:tcPr>
            <w:tcW w:w="1418"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核查项目</w:t>
            </w:r>
          </w:p>
        </w:tc>
        <w:tc>
          <w:tcPr>
            <w:tcW w:w="3969"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核查内容</w:t>
            </w:r>
          </w:p>
        </w:tc>
        <w:tc>
          <w:tcPr>
            <w:tcW w:w="3433"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评分标准</w:t>
            </w:r>
          </w:p>
        </w:tc>
        <w:tc>
          <w:tcPr>
            <w:tcW w:w="1263"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核查得分</w:t>
            </w:r>
          </w:p>
        </w:tc>
        <w:tc>
          <w:tcPr>
            <w:tcW w:w="2675"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1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3.1</w:t>
            </w:r>
          </w:p>
        </w:tc>
        <w:tc>
          <w:tcPr>
            <w:tcW w:w="1418"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设备布局</w:t>
            </w:r>
          </w:p>
        </w:tc>
        <w:tc>
          <w:tcPr>
            <w:tcW w:w="3969"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生产设备应当按照工艺流程有序排列，合理布局，便于清洁、消毒和维修保养，避免交叉污染。</w:t>
            </w: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5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63"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1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个别设备布局不合理。</w:t>
            </w:r>
          </w:p>
        </w:tc>
        <w:tc>
          <w:tcPr>
            <w:tcW w:w="45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63"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1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设备布局存在交叉污染。</w:t>
            </w:r>
          </w:p>
        </w:tc>
        <w:tc>
          <w:tcPr>
            <w:tcW w:w="45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63"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1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3.2</w:t>
            </w:r>
          </w:p>
        </w:tc>
        <w:tc>
          <w:tcPr>
            <w:tcW w:w="1418"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工艺流程</w:t>
            </w:r>
          </w:p>
        </w:tc>
        <w:tc>
          <w:tcPr>
            <w:tcW w:w="3969"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r>
              <w:rPr>
                <w:rFonts w:hint="default" w:ascii="Times New Roman" w:hAnsi="Times New Roman" w:eastAsia="微软雅黑" w:cs="Times New Roman"/>
                <w:i w:val="0"/>
                <w:iCs w:val="0"/>
                <w:caps w:val="0"/>
                <w:color w:val="333333"/>
                <w:spacing w:val="0"/>
                <w:kern w:val="0"/>
                <w:sz w:val="32"/>
                <w:szCs w:val="32"/>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具备合理的生产工艺流程，防止生产过程中造成交叉污染。申请的食品类别、产品配方、工艺流程应当与产品执行标准相适应。执行企业标准的，应当依法备案或公开。食品添加剂生产使用的原料和工艺，应符合食品添加剂食品安全国家标准规定。</w:t>
            </w: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5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63"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1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个别工艺流程略不合理。</w:t>
            </w:r>
          </w:p>
        </w:tc>
        <w:tc>
          <w:tcPr>
            <w:tcW w:w="45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63"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1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工艺流程存在交叉污染，或者工艺流程、原料不符合产品执行标准的规定，或者企业标准未依法备案或</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公开</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w:t>
            </w:r>
          </w:p>
        </w:tc>
        <w:tc>
          <w:tcPr>
            <w:tcW w:w="45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63"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rPr>
        <w:tc>
          <w:tcPr>
            <w:tcW w:w="71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2.</w:t>
            </w:r>
            <w:r>
              <w:rPr>
                <w:rFonts w:hint="default" w:ascii="Times New Roman" w:hAnsi="Times New Roman" w:eastAsia="微软雅黑" w:cs="Times New Roman"/>
                <w:i w:val="0"/>
                <w:iCs w:val="0"/>
                <w:caps w:val="0"/>
                <w:color w:val="333333"/>
                <w:spacing w:val="0"/>
                <w:kern w:val="0"/>
                <w:sz w:val="32"/>
                <w:szCs w:val="32"/>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制定所需的产品配方、工艺规程等工艺文件，明确生产过程中的食品安全关键环节和控制措施。生产食品添加剂时，产品命名、标签和说明书及复配食品添加剂配方、有害物质、致病性微生物等控制要求应当符合食品安全国家标准规定。</w:t>
            </w: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5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63"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rPr>
        <w:tc>
          <w:tcPr>
            <w:tcW w:w="71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工艺文件略有不足。</w:t>
            </w:r>
          </w:p>
        </w:tc>
        <w:tc>
          <w:tcPr>
            <w:tcW w:w="45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63"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rPr>
        <w:tc>
          <w:tcPr>
            <w:tcW w:w="71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工艺文件严重不足，或者生产复配食品添加剂的相关控制要求不符合食品安全标准的规定。</w:t>
            </w:r>
          </w:p>
        </w:tc>
        <w:tc>
          <w:tcPr>
            <w:tcW w:w="45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63"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9" w:beforeAutospacing="0" w:after="319" w:afterAutospacing="0" w:line="400" w:lineRule="atLeast"/>
        <w:ind w:left="0" w:right="0" w:firstLine="640"/>
        <w:jc w:val="center"/>
        <w:rPr>
          <w:rFonts w:hint="eastAsia" w:ascii="宋体" w:hAnsi="宋体" w:eastAsia="宋体" w:cs="宋体"/>
          <w:i w:val="0"/>
          <w:iCs w:val="0"/>
          <w:caps w:val="0"/>
          <w:color w:val="333333"/>
          <w:spacing w:val="0"/>
          <w:sz w:val="32"/>
          <w:szCs w:val="3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四、人员管理（共</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9</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分）</w:t>
      </w:r>
    </w:p>
    <w:tbl>
      <w:tblPr>
        <w:tblW w:w="134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34"/>
        <w:gridCol w:w="1408"/>
        <w:gridCol w:w="3969"/>
        <w:gridCol w:w="2976"/>
        <w:gridCol w:w="426"/>
        <w:gridCol w:w="1275"/>
        <w:gridCol w:w="2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3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序号</w:t>
            </w:r>
          </w:p>
        </w:tc>
        <w:tc>
          <w:tcPr>
            <w:tcW w:w="1408"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核查项目</w:t>
            </w:r>
          </w:p>
        </w:tc>
        <w:tc>
          <w:tcPr>
            <w:tcW w:w="3969"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核查内容</w:t>
            </w:r>
          </w:p>
        </w:tc>
        <w:tc>
          <w:tcPr>
            <w:tcW w:w="3402"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评分标准</w:t>
            </w:r>
          </w:p>
        </w:tc>
        <w:tc>
          <w:tcPr>
            <w:tcW w:w="1275"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核查得分</w:t>
            </w:r>
          </w:p>
        </w:tc>
        <w:tc>
          <w:tcPr>
            <w:tcW w:w="2694"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3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4.1</w:t>
            </w:r>
          </w:p>
        </w:tc>
        <w:tc>
          <w:tcPr>
            <w:tcW w:w="1408"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人员要求</w:t>
            </w:r>
          </w:p>
        </w:tc>
        <w:tc>
          <w:tcPr>
            <w:tcW w:w="3969"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应当配备专职</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或兼职</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食品安全管理人员和食品安全专业技术人员，明确其职责。人员要求应当符合有关规定。</w:t>
            </w: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4"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3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0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人员职责不太明确，或者个别人员不符合规定要求。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3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0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相关人员配备不足，或者人员不符合规定要求。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3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4.2</w:t>
            </w:r>
          </w:p>
        </w:tc>
        <w:tc>
          <w:tcPr>
            <w:tcW w:w="1408"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人员培训</w:t>
            </w:r>
          </w:p>
        </w:tc>
        <w:tc>
          <w:tcPr>
            <w:tcW w:w="3969"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应当制定和实施职工培训计划，根据岗位需求开展食品安全知识及卫生培训，做好培训记录。食品安全管理人员上岗前应当经过培训，并考核合格。</w:t>
            </w: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4"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3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0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培训计划及计划实施、培训记录略有不足。</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3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0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无培训计划，或计划实施严重不足，或无培训记录。</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rPr>
        <w:tc>
          <w:tcPr>
            <w:tcW w:w="734"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4.3</w:t>
            </w:r>
          </w:p>
        </w:tc>
        <w:tc>
          <w:tcPr>
            <w:tcW w:w="1408"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人员健康管理制度</w:t>
            </w:r>
          </w:p>
        </w:tc>
        <w:tc>
          <w:tcPr>
            <w:tcW w:w="3969"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建立并执行从业人员健康管理制度，明确患有国务院卫生行政部门规定的有碍食品安全疾病的或有明显皮肤损伤未愈合的人员，不得从事接触直接入口食品的工作。从事接触直接入口食品工作的食品生产人员应当每年进行健康检查，取得健康证明后方可上岗工作。</w:t>
            </w: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75"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4"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rPr>
        <w:tc>
          <w:tcPr>
            <w:tcW w:w="73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0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制度内容或执行略有缺陷。</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rPr>
        <w:tc>
          <w:tcPr>
            <w:tcW w:w="734"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08"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97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无制度或者制度执行严重不足。</w:t>
            </w:r>
          </w:p>
        </w:tc>
        <w:tc>
          <w:tcPr>
            <w:tcW w:w="426"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9" w:beforeAutospacing="0" w:after="319" w:afterAutospacing="0" w:line="400" w:lineRule="atLeast"/>
        <w:ind w:left="0" w:right="0" w:firstLine="640"/>
        <w:jc w:val="center"/>
        <w:rPr>
          <w:rFonts w:hint="eastAsia" w:ascii="宋体" w:hAnsi="宋体" w:eastAsia="宋体" w:cs="宋体"/>
          <w:i w:val="0"/>
          <w:iCs w:val="0"/>
          <w:caps w:val="0"/>
          <w:color w:val="333333"/>
          <w:spacing w:val="0"/>
          <w:sz w:val="32"/>
          <w:szCs w:val="3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五、管理制度（共</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27</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分）</w:t>
      </w:r>
    </w:p>
    <w:tbl>
      <w:tblPr>
        <w:tblW w:w="1350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20"/>
        <w:gridCol w:w="1440"/>
        <w:gridCol w:w="3960"/>
        <w:gridCol w:w="2880"/>
        <w:gridCol w:w="540"/>
        <w:gridCol w:w="1260"/>
        <w:gridCol w:w="27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序号</w:t>
            </w:r>
          </w:p>
        </w:tc>
        <w:tc>
          <w:tcPr>
            <w:tcW w:w="1440"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核查项目</w:t>
            </w:r>
          </w:p>
        </w:tc>
        <w:tc>
          <w:tcPr>
            <w:tcW w:w="3960"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核查内容</w:t>
            </w:r>
          </w:p>
        </w:tc>
        <w:tc>
          <w:tcPr>
            <w:tcW w:w="3420"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评分标准</w:t>
            </w:r>
          </w:p>
        </w:tc>
        <w:tc>
          <w:tcPr>
            <w:tcW w:w="1260"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核查得分</w:t>
            </w:r>
          </w:p>
        </w:tc>
        <w:tc>
          <w:tcPr>
            <w:tcW w:w="2700"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核查记录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5.1</w:t>
            </w:r>
          </w:p>
        </w:tc>
        <w:tc>
          <w:tcPr>
            <w:tcW w:w="144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采购管理及进货查验记录</w:t>
            </w:r>
          </w:p>
        </w:tc>
        <w:tc>
          <w:tcPr>
            <w:tcW w:w="396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建立并执行采购管理制度，规定食品原料、食品添加剂、食品相关产品验收标准。采购时，应当查验供货者的许可证和产品合格证明；对无法提供合格证明的食品原料，应当按照食品安全标准及产品执行标准进行检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建立并执行进货查验记录制度，记录采购的食品原料、食品添加剂及食品相关产品名称、规格、数量、生产日期或者生产批号、保质期、进货日期以及供货者名称、地址、联系方式等信息，保存相关记录和凭证。</w:t>
            </w: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6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700"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制度内容或执行略有不足。</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700"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制度内容或执行严重不足。</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700"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5.2</w:t>
            </w:r>
          </w:p>
        </w:tc>
        <w:tc>
          <w:tcPr>
            <w:tcW w:w="144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生产过程控制</w:t>
            </w:r>
          </w:p>
        </w:tc>
        <w:tc>
          <w:tcPr>
            <w:tcW w:w="396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建立并执行生产过程控制制度，制定所需的操作规程或作业指导书，明确原料（如领料、投料、余料管理等）、生产关键环节（如生产工序、设备、贮存、包装等）控制的相关要求，防止交叉污染，并记录产品的加工过程（包括工艺参数、环境监测等）。</w:t>
            </w: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6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70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个别制度内容或执行略有不足。</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70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制度内容或执行严重不足。</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70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5.3</w:t>
            </w:r>
          </w:p>
        </w:tc>
        <w:tc>
          <w:tcPr>
            <w:tcW w:w="144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检验管理及出厂检验记录</w:t>
            </w:r>
          </w:p>
        </w:tc>
        <w:tc>
          <w:tcPr>
            <w:tcW w:w="396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建立并执行检验管理制度，规定原料检验、过程检验、产品出厂检验以及产品留样的方式及要求，综合考虑产品特性、工艺特点、原料控制等因素明确制定出厂检验项目，保存相关检验和留样记录。生产复配食品添加剂的，还应当明确规定各种食品添加剂的含量和检验方法。委托检验的，应当委托有资质的机构进行检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应当建立并执行产品出厂检验记录制度，规定产品出厂时，查验出厂产品的安全状况和检验合格证明，记录产品的名称、规格、数量、生产日期或者生产批号、保质期、检验</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合格证明编号、</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销售日期以及购货者名称、地址、联系方式等信息，保存相关记录和凭证。</w:t>
            </w: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6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70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制度内容或执行略有不足。</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70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制度内容或执行严重不足。</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70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5.4</w:t>
            </w:r>
          </w:p>
        </w:tc>
        <w:tc>
          <w:tcPr>
            <w:tcW w:w="144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运输和交付管理</w:t>
            </w:r>
          </w:p>
        </w:tc>
        <w:tc>
          <w:tcPr>
            <w:tcW w:w="396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应当建立并执行运输和交付管理制度，规定根据产品特点、贮存要求、运输条件选择适宜的运输方式，并做好交付记录。委托运输的，应当对受托方的食品安全保障能力进行审核。</w:t>
            </w: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6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70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制度内容或执行略有不足。</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70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制度内容或执行严重不足。</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70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5.5</w:t>
            </w:r>
          </w:p>
        </w:tc>
        <w:tc>
          <w:tcPr>
            <w:tcW w:w="144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食品安全追溯管理</w:t>
            </w:r>
          </w:p>
        </w:tc>
        <w:tc>
          <w:tcPr>
            <w:tcW w:w="396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应当建立并执行食品安全追溯管理体系，记录并保存法律、法规及标准等规定的信息，保证产品可追溯。</w:t>
            </w: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6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70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管理体系或执行略有不足。</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70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管理体系或执行严重不足。</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70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5.6</w:t>
            </w:r>
          </w:p>
        </w:tc>
        <w:tc>
          <w:tcPr>
            <w:tcW w:w="144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食品安全自查</w:t>
            </w:r>
          </w:p>
        </w:tc>
        <w:tc>
          <w:tcPr>
            <w:tcW w:w="396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建立并执行食品安全自查制度，规定对食品安全状况定期进行检查评价，并根据评价结果采取相应的处理措施。有发生食品安全事故潜在风险的，应当立即停止食品生产活动，并向所在地县级市场监督管理部门报告。</w:t>
            </w: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6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70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制度内容或执行略有不足。</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70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制度内容或执行严重不足。</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70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5.7</w:t>
            </w:r>
          </w:p>
        </w:tc>
        <w:tc>
          <w:tcPr>
            <w:tcW w:w="144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不合格品管理及不安全食品召回</w:t>
            </w:r>
          </w:p>
        </w:tc>
        <w:tc>
          <w:tcPr>
            <w:tcW w:w="396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应当建立并执行不合格品管理制度，规定原料、半成品、成品及食品相关产品中不合格品的管理要求和处置措施。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应当建立并执行不安全食品召回制度，规定停止生产、通知相关生产经营者和消费者、召回和处置不安全食品的相关要求，记录召回和通知情况。</w:t>
            </w: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c>
          <w:tcPr>
            <w:tcW w:w="270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制度内容或执行略有不足。</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c>
          <w:tcPr>
            <w:tcW w:w="270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制度内容或执行严重不足。</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c>
          <w:tcPr>
            <w:tcW w:w="270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5.8</w:t>
            </w:r>
          </w:p>
        </w:tc>
        <w:tc>
          <w:tcPr>
            <w:tcW w:w="144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食品安全事故处置</w:t>
            </w:r>
          </w:p>
        </w:tc>
        <w:tc>
          <w:tcPr>
            <w:tcW w:w="396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应当建立食品安全事故处置方案，规定食品安全事故处置措施及向事故</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发生地县级</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市场</w:t>
            </w:r>
            <w:r>
              <w:rPr>
                <w:rFonts w:hint="default" w:ascii="仿宋_GB2312" w:hAnsi="Times New Roman" w:eastAsia="仿宋_GB2312" w:cs="仿宋_GB2312"/>
                <w:i w:val="0"/>
                <w:iCs w:val="0"/>
                <w:caps w:val="0"/>
                <w:color w:val="333333"/>
                <w:spacing w:val="0"/>
                <w:kern w:val="0"/>
                <w:sz w:val="24"/>
                <w:szCs w:val="24"/>
                <w:bdr w:val="none" w:color="auto" w:sz="0" w:space="0"/>
                <w:lang w:val="en-US" w:eastAsia="zh-CN" w:bidi="ar"/>
              </w:rPr>
              <w:t>监督管理部门</w:t>
            </w: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和卫生行政部门报告的要求。</w:t>
            </w: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c>
          <w:tcPr>
            <w:tcW w:w="270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方案内容或执行略有不足。</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c>
          <w:tcPr>
            <w:tcW w:w="270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trPr>
        <w:tc>
          <w:tcPr>
            <w:tcW w:w="72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方案内容或执行严重不足。</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6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c>
          <w:tcPr>
            <w:tcW w:w="270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 w:hRule="atLeast"/>
        </w:trPr>
        <w:tc>
          <w:tcPr>
            <w:tcW w:w="72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5.9</w:t>
            </w:r>
          </w:p>
        </w:tc>
        <w:tc>
          <w:tcPr>
            <w:tcW w:w="144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其他</w:t>
            </w:r>
          </w:p>
        </w:tc>
        <w:tc>
          <w:tcPr>
            <w:tcW w:w="396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应当按照相关法律法规、食品安全标准以及审查细则规定，建立并执行其他保障食品安全的管理制度。</w:t>
            </w: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3</w:t>
            </w:r>
          </w:p>
        </w:tc>
        <w:tc>
          <w:tcPr>
            <w:tcW w:w="126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700" w:type="dxa"/>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 w:hRule="atLeast"/>
        </w:trPr>
        <w:tc>
          <w:tcPr>
            <w:tcW w:w="72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个别制度内容或执行略有不足。</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70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 w:hRule="atLeast"/>
        </w:trPr>
        <w:tc>
          <w:tcPr>
            <w:tcW w:w="72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144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39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88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制度内容或执行严重不足。</w:t>
            </w:r>
          </w:p>
        </w:tc>
        <w:tc>
          <w:tcPr>
            <w:tcW w:w="54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6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c>
          <w:tcPr>
            <w:tcW w:w="2700" w:type="dxa"/>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jc w:val="both"/>
              <w:rPr>
                <w:rFonts w:hint="eastAsia" w:ascii="微软雅黑" w:hAnsi="微软雅黑" w:eastAsia="微软雅黑" w:cs="微软雅黑"/>
                <w:i w:val="0"/>
                <w:iCs w:val="0"/>
                <w:caps w:val="0"/>
                <w:color w:val="333333"/>
                <w:spacing w:val="0"/>
                <w:sz w:val="20"/>
                <w:szCs w:val="20"/>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9" w:beforeAutospacing="0" w:after="319" w:afterAutospacing="0" w:line="400" w:lineRule="atLeast"/>
        <w:ind w:left="0" w:right="0" w:firstLine="640"/>
        <w:jc w:val="center"/>
        <w:rPr>
          <w:rFonts w:hint="eastAsia" w:ascii="宋体" w:hAnsi="宋体" w:eastAsia="宋体" w:cs="宋体"/>
          <w:i w:val="0"/>
          <w:iCs w:val="0"/>
          <w:caps w:val="0"/>
          <w:color w:val="333333"/>
          <w:spacing w:val="0"/>
          <w:sz w:val="32"/>
          <w:szCs w:val="32"/>
        </w:rPr>
      </w:pP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9" w:beforeAutospacing="0" w:after="319" w:afterAutospacing="0" w:line="400" w:lineRule="atLeast"/>
        <w:ind w:left="0" w:right="0" w:firstLine="640"/>
        <w:jc w:val="center"/>
        <w:rPr>
          <w:rFonts w:hint="eastAsia" w:ascii="宋体" w:hAnsi="宋体" w:eastAsia="宋体" w:cs="宋体"/>
          <w:i w:val="0"/>
          <w:iCs w:val="0"/>
          <w:caps w:val="0"/>
          <w:color w:val="333333"/>
          <w:spacing w:val="0"/>
          <w:sz w:val="32"/>
          <w:szCs w:val="32"/>
        </w:rPr>
      </w:pP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9" w:beforeAutospacing="0" w:after="319" w:afterAutospacing="0" w:line="400" w:lineRule="atLeast"/>
        <w:ind w:left="0" w:right="0" w:firstLine="640"/>
        <w:jc w:val="center"/>
        <w:rPr>
          <w:rFonts w:hint="eastAsia" w:ascii="宋体" w:hAnsi="宋体" w:eastAsia="宋体" w:cs="宋体"/>
          <w:i w:val="0"/>
          <w:iCs w:val="0"/>
          <w:caps w:val="0"/>
          <w:color w:val="333333"/>
          <w:spacing w:val="0"/>
          <w:sz w:val="32"/>
          <w:szCs w:val="3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六、试制食品检验合格报告（共</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分）</w:t>
      </w:r>
    </w:p>
    <w:tbl>
      <w:tblPr>
        <w:tblW w:w="134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09"/>
        <w:gridCol w:w="1418"/>
        <w:gridCol w:w="3969"/>
        <w:gridCol w:w="2905"/>
        <w:gridCol w:w="497"/>
        <w:gridCol w:w="1275"/>
        <w:gridCol w:w="2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 w:hRule="atLeast"/>
        </w:trPr>
        <w:tc>
          <w:tcPr>
            <w:tcW w:w="709"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序号</w:t>
            </w:r>
          </w:p>
        </w:tc>
        <w:tc>
          <w:tcPr>
            <w:tcW w:w="1418" w:type="dxa"/>
            <w:tcBorders>
              <w:top w:val="single" w:color="auto" w:sz="8" w:space="0"/>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核查项目</w:t>
            </w:r>
          </w:p>
        </w:tc>
        <w:tc>
          <w:tcPr>
            <w:tcW w:w="3969" w:type="dxa"/>
            <w:tcBorders>
              <w:top w:val="single" w:color="auto" w:sz="8" w:space="0"/>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核查内容</w:t>
            </w:r>
          </w:p>
        </w:tc>
        <w:tc>
          <w:tcPr>
            <w:tcW w:w="3402" w:type="dxa"/>
            <w:gridSpan w:val="2"/>
            <w:tcBorders>
              <w:top w:val="single" w:color="auto" w:sz="8" w:space="0"/>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评分标准</w:t>
            </w:r>
          </w:p>
        </w:tc>
        <w:tc>
          <w:tcPr>
            <w:tcW w:w="1275" w:type="dxa"/>
            <w:tcBorders>
              <w:top w:val="single" w:color="auto" w:sz="8" w:space="0"/>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核查得分</w:t>
            </w:r>
          </w:p>
        </w:tc>
        <w:tc>
          <w:tcPr>
            <w:tcW w:w="2694" w:type="dxa"/>
            <w:tcBorders>
              <w:top w:val="single" w:color="auto" w:sz="8" w:space="0"/>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eastAsia" w:ascii="黑体" w:hAnsi="宋体" w:eastAsia="黑体" w:cs="黑体"/>
                <w:i w:val="0"/>
                <w:iCs w:val="0"/>
                <w:caps w:val="0"/>
                <w:color w:val="333333"/>
                <w:spacing w:val="0"/>
                <w:kern w:val="0"/>
                <w:sz w:val="24"/>
                <w:szCs w:val="24"/>
                <w:bdr w:val="none" w:color="auto" w:sz="0" w:space="0"/>
                <w:lang w:val="en-US" w:eastAsia="zh-CN" w:bidi="ar"/>
              </w:rPr>
              <w:t>核查记录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4" w:hRule="atLeast"/>
        </w:trPr>
        <w:tc>
          <w:tcPr>
            <w:tcW w:w="709" w:type="dxa"/>
            <w:vMerge w:val="restart"/>
            <w:tcBorders>
              <w:top w:val="nil"/>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6.1</w:t>
            </w:r>
          </w:p>
        </w:tc>
        <w:tc>
          <w:tcPr>
            <w:tcW w:w="1418" w:type="dxa"/>
            <w:vMerge w:val="restart"/>
            <w:tcBorders>
              <w:top w:val="nil"/>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试制食品检验合格报告</w:t>
            </w:r>
          </w:p>
        </w:tc>
        <w:tc>
          <w:tcPr>
            <w:tcW w:w="3969" w:type="dxa"/>
            <w:vMerge w:val="restart"/>
            <w:tcBorders>
              <w:top w:val="nil"/>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4"/>
                <w:kern w:val="0"/>
                <w:sz w:val="24"/>
                <w:szCs w:val="24"/>
                <w:bdr w:val="none" w:color="auto" w:sz="0" w:space="0"/>
                <w:lang w:val="en-US" w:eastAsia="zh-CN" w:bidi="ar"/>
              </w:rPr>
              <w:t>应当提交符合产品执行的食品安全标准、产品标准、审查细则和国务院卫生行政部门相关公告的试制食品检验合格报告。</w:t>
            </w:r>
          </w:p>
        </w:tc>
        <w:tc>
          <w:tcPr>
            <w:tcW w:w="2905" w:type="dxa"/>
            <w:tcBorders>
              <w:top w:val="nil"/>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符合规定要求。</w:t>
            </w:r>
          </w:p>
        </w:tc>
        <w:tc>
          <w:tcPr>
            <w:tcW w:w="497" w:type="dxa"/>
            <w:tcBorders>
              <w:top w:val="nil"/>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1</w:t>
            </w:r>
          </w:p>
        </w:tc>
        <w:tc>
          <w:tcPr>
            <w:tcW w:w="1275" w:type="dxa"/>
            <w:vMerge w:val="restart"/>
            <w:tcBorders>
              <w:top w:val="nil"/>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　</w:t>
            </w:r>
          </w:p>
        </w:tc>
        <w:tc>
          <w:tcPr>
            <w:tcW w:w="2694" w:type="dxa"/>
            <w:vMerge w:val="restart"/>
            <w:tcBorders>
              <w:top w:val="nil"/>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6" w:hRule="atLeast"/>
        </w:trPr>
        <w:tc>
          <w:tcPr>
            <w:tcW w:w="709" w:type="dxa"/>
            <w:vMerge w:val="continue"/>
            <w:tcBorders>
              <w:top w:val="nil"/>
              <w:left w:val="single" w:color="auto" w:sz="8" w:space="0"/>
              <w:bottom w:val="single" w:color="auto" w:sz="8" w:space="0"/>
              <w:right w:val="single" w:color="auto" w:sz="8" w:space="0"/>
            </w:tcBorders>
            <w:shd w:val="clear" w:color="auto" w:fill="FFFFFF"/>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vAlign w:val="top"/>
          </w:tcPr>
          <w:p>
            <w:pPr>
              <w:jc w:val="both"/>
              <w:rPr>
                <w:rFonts w:hint="eastAsia" w:ascii="微软雅黑" w:hAnsi="微软雅黑" w:eastAsia="微软雅黑" w:cs="微软雅黑"/>
                <w:i w:val="0"/>
                <w:iCs w:val="0"/>
                <w:caps w:val="0"/>
                <w:color w:val="333333"/>
                <w:spacing w:val="0"/>
                <w:sz w:val="20"/>
                <w:szCs w:val="20"/>
              </w:rPr>
            </w:pPr>
          </w:p>
        </w:tc>
        <w:tc>
          <w:tcPr>
            <w:tcW w:w="2905" w:type="dxa"/>
            <w:tcBorders>
              <w:top w:val="nil"/>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非食品安全标准规定的检验项目不全。</w:t>
            </w:r>
          </w:p>
        </w:tc>
        <w:tc>
          <w:tcPr>
            <w:tcW w:w="497" w:type="dxa"/>
            <w:tcBorders>
              <w:top w:val="nil"/>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0.5</w:t>
            </w:r>
          </w:p>
        </w:tc>
        <w:tc>
          <w:tcPr>
            <w:tcW w:w="1275" w:type="dxa"/>
            <w:vMerge w:val="continue"/>
            <w:tcBorders>
              <w:top w:val="nil"/>
              <w:left w:val="nil"/>
              <w:bottom w:val="single" w:color="auto" w:sz="8" w:space="0"/>
              <w:right w:val="single" w:color="auto" w:sz="8" w:space="0"/>
            </w:tcBorders>
            <w:shd w:val="clear" w:color="auto" w:fill="FFFFFF"/>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vAlign w:val="top"/>
          </w:tcPr>
          <w:p>
            <w:pPr>
              <w:jc w:val="both"/>
              <w:rPr>
                <w:rFonts w:hint="eastAsia" w:ascii="微软雅黑" w:hAnsi="微软雅黑" w:eastAsia="微软雅黑" w:cs="微软雅黑"/>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8" w:hRule="atLeast"/>
        </w:trPr>
        <w:tc>
          <w:tcPr>
            <w:tcW w:w="709" w:type="dxa"/>
            <w:vMerge w:val="continue"/>
            <w:tcBorders>
              <w:top w:val="nil"/>
              <w:left w:val="single" w:color="auto" w:sz="8" w:space="0"/>
              <w:bottom w:val="single" w:color="auto" w:sz="8" w:space="0"/>
              <w:right w:val="single" w:color="auto" w:sz="8" w:space="0"/>
            </w:tcBorders>
            <w:shd w:val="clear" w:color="auto" w:fill="FFFFFF"/>
            <w:vAlign w:val="top"/>
          </w:tcPr>
          <w:p>
            <w:pPr>
              <w:jc w:val="both"/>
              <w:rPr>
                <w:rFonts w:hint="eastAsia" w:ascii="微软雅黑" w:hAnsi="微软雅黑" w:eastAsia="微软雅黑" w:cs="微软雅黑"/>
                <w:i w:val="0"/>
                <w:iCs w:val="0"/>
                <w:caps w:val="0"/>
                <w:color w:val="333333"/>
                <w:spacing w:val="0"/>
                <w:sz w:val="20"/>
                <w:szCs w:val="20"/>
              </w:rPr>
            </w:pPr>
          </w:p>
        </w:tc>
        <w:tc>
          <w:tcPr>
            <w:tcW w:w="1418" w:type="dxa"/>
            <w:vMerge w:val="continue"/>
            <w:tcBorders>
              <w:top w:val="nil"/>
              <w:left w:val="nil"/>
              <w:bottom w:val="single" w:color="auto" w:sz="8" w:space="0"/>
              <w:right w:val="single" w:color="auto" w:sz="8" w:space="0"/>
            </w:tcBorders>
            <w:shd w:val="clear" w:color="auto" w:fill="FFFFFF"/>
            <w:vAlign w:val="top"/>
          </w:tcPr>
          <w:p>
            <w:pPr>
              <w:jc w:val="both"/>
              <w:rPr>
                <w:rFonts w:hint="eastAsia" w:ascii="微软雅黑" w:hAnsi="微软雅黑" w:eastAsia="微软雅黑" w:cs="微软雅黑"/>
                <w:i w:val="0"/>
                <w:iCs w:val="0"/>
                <w:caps w:val="0"/>
                <w:color w:val="333333"/>
                <w:spacing w:val="0"/>
                <w:sz w:val="20"/>
                <w:szCs w:val="20"/>
              </w:rPr>
            </w:pPr>
          </w:p>
        </w:tc>
        <w:tc>
          <w:tcPr>
            <w:tcW w:w="3969" w:type="dxa"/>
            <w:vMerge w:val="continue"/>
            <w:tcBorders>
              <w:top w:val="nil"/>
              <w:left w:val="nil"/>
              <w:bottom w:val="single" w:color="auto" w:sz="8" w:space="0"/>
              <w:right w:val="single" w:color="auto" w:sz="8" w:space="0"/>
            </w:tcBorders>
            <w:shd w:val="clear" w:color="auto" w:fill="FFFFFF"/>
            <w:vAlign w:val="top"/>
          </w:tcPr>
          <w:p>
            <w:pPr>
              <w:jc w:val="both"/>
              <w:rPr>
                <w:rFonts w:hint="eastAsia" w:ascii="微软雅黑" w:hAnsi="微软雅黑" w:eastAsia="微软雅黑" w:cs="微软雅黑"/>
                <w:i w:val="0"/>
                <w:iCs w:val="0"/>
                <w:caps w:val="0"/>
                <w:color w:val="333333"/>
                <w:spacing w:val="0"/>
                <w:sz w:val="20"/>
                <w:szCs w:val="20"/>
              </w:rPr>
            </w:pPr>
          </w:p>
        </w:tc>
        <w:tc>
          <w:tcPr>
            <w:tcW w:w="2905" w:type="dxa"/>
            <w:tcBorders>
              <w:top w:val="nil"/>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sz w:val="32"/>
                <w:szCs w:val="32"/>
              </w:rP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无检验合格报告，或者食品安全标准规定的检验项目不全。</w:t>
            </w:r>
          </w:p>
        </w:tc>
        <w:tc>
          <w:tcPr>
            <w:tcW w:w="497" w:type="dxa"/>
            <w:tcBorders>
              <w:top w:val="nil"/>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sz w:val="32"/>
                <w:szCs w:val="32"/>
              </w:rPr>
            </w:pPr>
            <w:r>
              <w:rPr>
                <w:rFonts w:hint="default" w:ascii="Times New Roman" w:hAnsi="Times New Roman" w:eastAsia="微软雅黑" w:cs="Times New Roman"/>
                <w:i w:val="0"/>
                <w:iCs w:val="0"/>
                <w:caps w:val="0"/>
                <w:color w:val="333333"/>
                <w:spacing w:val="0"/>
                <w:kern w:val="0"/>
                <w:sz w:val="24"/>
                <w:szCs w:val="24"/>
                <w:bdr w:val="none" w:color="auto" w:sz="0" w:space="0"/>
                <w:lang w:val="en-US" w:eastAsia="zh-CN" w:bidi="ar"/>
              </w:rPr>
              <w:t>0</w:t>
            </w:r>
          </w:p>
        </w:tc>
        <w:tc>
          <w:tcPr>
            <w:tcW w:w="1275" w:type="dxa"/>
            <w:vMerge w:val="continue"/>
            <w:tcBorders>
              <w:top w:val="nil"/>
              <w:left w:val="nil"/>
              <w:bottom w:val="single" w:color="auto" w:sz="8" w:space="0"/>
              <w:right w:val="single" w:color="auto" w:sz="8" w:space="0"/>
            </w:tcBorders>
            <w:shd w:val="clear" w:color="auto" w:fill="FFFFFF"/>
            <w:vAlign w:val="top"/>
          </w:tcPr>
          <w:p>
            <w:pPr>
              <w:jc w:val="both"/>
              <w:rPr>
                <w:rFonts w:hint="eastAsia" w:ascii="微软雅黑" w:hAnsi="微软雅黑" w:eastAsia="微软雅黑" w:cs="微软雅黑"/>
                <w:i w:val="0"/>
                <w:iCs w:val="0"/>
                <w:caps w:val="0"/>
                <w:color w:val="333333"/>
                <w:spacing w:val="0"/>
                <w:sz w:val="20"/>
                <w:szCs w:val="20"/>
              </w:rPr>
            </w:pPr>
          </w:p>
        </w:tc>
        <w:tc>
          <w:tcPr>
            <w:tcW w:w="2694" w:type="dxa"/>
            <w:vMerge w:val="continue"/>
            <w:tcBorders>
              <w:top w:val="nil"/>
              <w:left w:val="nil"/>
              <w:bottom w:val="single" w:color="auto" w:sz="8" w:space="0"/>
              <w:right w:val="single" w:color="auto" w:sz="8" w:space="0"/>
            </w:tcBorders>
            <w:shd w:val="clear" w:color="auto" w:fill="FFFFFF"/>
            <w:vAlign w:val="top"/>
          </w:tcPr>
          <w:p>
            <w:pPr>
              <w:jc w:val="both"/>
              <w:rPr>
                <w:rFonts w:hint="eastAsia" w:ascii="微软雅黑" w:hAnsi="微软雅黑" w:eastAsia="微软雅黑" w:cs="微软雅黑"/>
                <w:i w:val="0"/>
                <w:iCs w:val="0"/>
                <w:caps w:val="0"/>
                <w:color w:val="333333"/>
                <w:spacing w:val="0"/>
                <w:sz w:val="20"/>
                <w:szCs w:val="20"/>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iCs w:val="0"/>
          <w:caps w:val="0"/>
          <w:color w:val="333333"/>
          <w:spacing w:val="0"/>
          <w:sz w:val="32"/>
          <w:szCs w:val="32"/>
        </w:rPr>
      </w:pP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5ZWQ5MDM1NmNhYjhhZWJkMDBkMGIwNTc0YjAwNTQifQ=="/>
  </w:docVars>
  <w:rsids>
    <w:rsidRoot w:val="2C9F4C1B"/>
    <w:rsid w:val="2C9F4C1B"/>
    <w:rsid w:val="3341378C"/>
    <w:rsid w:val="6BC87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6226</Words>
  <Characters>6319</Characters>
  <Lines>0</Lines>
  <Paragraphs>0</Paragraphs>
  <TotalTime>19</TotalTime>
  <ScaleCrop>false</ScaleCrop>
  <LinksUpToDate>false</LinksUpToDate>
  <CharactersWithSpaces>6559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2022-11-02T07:58:00Z</dcterms:created>
  <dc:creator>......</dc:creator>
  <cp:lastModifiedBy>......</cp:lastModifiedBy>
  <dcterms:modified xsi:type="dcterms:W3CDTF">2022-11-02T08:20:30Z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9F1BCE4A52034F148E61D49B4FA45C00</vt:lpwstr>
  </property>
</Properties>
</file>